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BC" w:rsidRPr="004F5D97" w:rsidRDefault="00D449BC" w:rsidP="00D449B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18 dieciocho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D449BC" w:rsidRPr="004F5D97" w:rsidRDefault="00D449BC" w:rsidP="00D449BC">
      <w:pPr>
        <w:rPr>
          <w:rFonts w:ascii="Calibri" w:hAnsi="Calibri" w:cs="Calibri"/>
          <w:color w:val="595959" w:themeColor="text1" w:themeTint="A6"/>
          <w:sz w:val="26"/>
          <w:szCs w:val="26"/>
        </w:rPr>
      </w:pPr>
    </w:p>
    <w:p w:rsidR="00D449BC" w:rsidRPr="004F5D97" w:rsidRDefault="00D449BC" w:rsidP="00D449B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0983/2doJAM/2018-JN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w:t>
      </w:r>
      <w:r>
        <w:rPr>
          <w:rFonts w:ascii="Calibri" w:hAnsi="Calibri" w:cs="Calibri"/>
          <w:color w:val="595959" w:themeColor="text1" w:themeTint="A6"/>
          <w:sz w:val="26"/>
          <w:szCs w:val="26"/>
        </w:rPr>
        <w:t xml:space="preserve"> . . . . . . . . . .</w:t>
      </w:r>
      <w:r w:rsidRPr="004F5D97">
        <w:rPr>
          <w:rFonts w:ascii="Calibri" w:hAnsi="Calibri" w:cs="Calibri"/>
          <w:color w:val="595959" w:themeColor="text1" w:themeTint="A6"/>
          <w:sz w:val="26"/>
          <w:szCs w:val="26"/>
        </w:rPr>
        <w:t xml:space="preserve"> </w:t>
      </w:r>
    </w:p>
    <w:p w:rsidR="00D449BC" w:rsidRPr="004F5D97" w:rsidRDefault="00D449BC" w:rsidP="00D449BC">
      <w:pPr>
        <w:pStyle w:val="Textoindependiente"/>
        <w:rPr>
          <w:rFonts w:ascii="Calibri" w:hAnsi="Calibri" w:cs="Calibri"/>
          <w:color w:val="595959" w:themeColor="text1" w:themeTint="A6"/>
          <w:sz w:val="26"/>
          <w:szCs w:val="26"/>
        </w:rPr>
      </w:pPr>
    </w:p>
    <w:p w:rsidR="00D449BC" w:rsidRPr="004F5D97" w:rsidRDefault="00D449BC" w:rsidP="00D449B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D449BC" w:rsidRPr="004F5D97" w:rsidRDefault="00D449BC" w:rsidP="00D449BC">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D449BC" w:rsidRPr="004F5D97" w:rsidRDefault="00D449BC" w:rsidP="00D449B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r>
        <w:rPr>
          <w:rFonts w:ascii="Calibri" w:hAnsi="Calibri" w:cs="Calibri"/>
          <w:color w:val="595959" w:themeColor="text1" w:themeTint="A6"/>
          <w:sz w:val="26"/>
          <w:szCs w:val="26"/>
        </w:rPr>
        <w:t xml:space="preserve">. . . . . . . . . . . . . </w:t>
      </w:r>
    </w:p>
    <w:p w:rsidR="00D449BC" w:rsidRPr="004F5D97" w:rsidRDefault="00D449BC" w:rsidP="00D449BC">
      <w:pPr>
        <w:ind w:firstLine="708"/>
        <w:jc w:val="both"/>
        <w:rPr>
          <w:rFonts w:ascii="Calibri" w:hAnsi="Calibri" w:cs="Calibri"/>
          <w:b/>
          <w:bCs/>
          <w:color w:val="595959" w:themeColor="text1" w:themeTint="A6"/>
          <w:sz w:val="26"/>
          <w:szCs w:val="26"/>
        </w:rPr>
      </w:pPr>
    </w:p>
    <w:p w:rsidR="00D449BC" w:rsidRPr="004F5D97" w:rsidRDefault="00D449BC" w:rsidP="00D449BC">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375859 (tres-siete-cinco-ocho-cinco-nueve)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D449BC" w:rsidRPr="004F5D97" w:rsidRDefault="00D449BC" w:rsidP="00D449BC">
      <w:pPr>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D449BC" w:rsidRPr="004F5D97" w:rsidRDefault="00D449BC" w:rsidP="00D449BC">
      <w:pPr>
        <w:ind w:firstLine="708"/>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D449BC" w:rsidRPr="004F5D97" w:rsidRDefault="00D449BC" w:rsidP="00D449BC">
      <w:pPr>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11 once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w:t>
      </w:r>
    </w:p>
    <w:p w:rsidR="00D449BC" w:rsidRPr="004F5D97" w:rsidRDefault="00D449BC" w:rsidP="00D449BC">
      <w:pPr>
        <w:ind w:firstLine="708"/>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D449BC" w:rsidRPr="004F5D97" w:rsidRDefault="00D449BC" w:rsidP="00D449BC">
      <w:pPr>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(.....)l</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2 dos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25 veinticinco a la 28 veintiocho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 . . . . . . . . . . </w:t>
      </w:r>
    </w:p>
    <w:p w:rsidR="00D449BC" w:rsidRPr="004F5D97" w:rsidRDefault="00D449BC" w:rsidP="00D449BC">
      <w:pPr>
        <w:pStyle w:val="Textoindependiente"/>
        <w:rPr>
          <w:rFonts w:ascii="Calibri" w:hAnsi="Calibri" w:cs="Calibri"/>
          <w:color w:val="595959" w:themeColor="text1" w:themeTint="A6"/>
          <w:sz w:val="26"/>
          <w:szCs w:val="26"/>
          <w:lang w:val="es-ES"/>
        </w:rPr>
      </w:pPr>
    </w:p>
    <w:p w:rsidR="00D449BC" w:rsidRDefault="00D449BC" w:rsidP="00D449B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6 seis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29 veintinueve</w:t>
      </w:r>
      <w:r w:rsidRPr="004F5D97">
        <w:rPr>
          <w:rFonts w:ascii="Calibri" w:hAnsi="Calibri" w:cs="Calibri"/>
          <w:color w:val="595959" w:themeColor="text1" w:themeTint="A6"/>
          <w:sz w:val="26"/>
          <w:szCs w:val="26"/>
        </w:rPr>
        <w:t xml:space="preserve">), pruebas que se tuvieron por desahogadas desde ese momento. . . . . . . . . . . . . . . . . . . . . . . . . . . . . </w:t>
      </w:r>
      <w:r>
        <w:rPr>
          <w:rFonts w:ascii="Calibri" w:hAnsi="Calibri" w:cs="Calibri"/>
          <w:color w:val="595959" w:themeColor="text1" w:themeTint="A6"/>
          <w:sz w:val="26"/>
          <w:szCs w:val="26"/>
        </w:rPr>
        <w:t>. . . . . . . . . . .</w:t>
      </w:r>
    </w:p>
    <w:p w:rsidR="00D449BC" w:rsidRPr="004F5D97" w:rsidRDefault="00D449BC" w:rsidP="00D449BC">
      <w:pPr>
        <w:pStyle w:val="Textoindependiente"/>
        <w:ind w:firstLine="708"/>
        <w:rPr>
          <w:rFonts w:ascii="Calibri" w:hAnsi="Calibri" w:cs="Calibri"/>
          <w:color w:val="595959" w:themeColor="text1" w:themeTint="A6"/>
          <w:sz w:val="26"/>
          <w:szCs w:val="26"/>
        </w:rPr>
      </w:pPr>
    </w:p>
    <w:p w:rsidR="00D449BC" w:rsidRPr="004F5D97" w:rsidRDefault="00D449BC" w:rsidP="00D449BC">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20</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veinte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septiembre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 . . </w:t>
      </w:r>
    </w:p>
    <w:p w:rsidR="00D449BC" w:rsidRPr="004F5D97" w:rsidRDefault="00D449BC" w:rsidP="00D449BC">
      <w:pPr>
        <w:pStyle w:val="Textoindependiente"/>
        <w:ind w:firstLine="708"/>
        <w:rPr>
          <w:rFonts w:ascii="Calibri" w:hAnsi="Calibri" w:cs="Calibri"/>
          <w:color w:val="595959" w:themeColor="text1" w:themeTint="A6"/>
          <w:sz w:val="26"/>
          <w:szCs w:val="26"/>
        </w:rPr>
      </w:pPr>
    </w:p>
    <w:p w:rsidR="00D449BC" w:rsidRPr="004F5D97" w:rsidRDefault="00D449BC" w:rsidP="00D449BC">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D449BC" w:rsidRPr="004F5D97" w:rsidRDefault="00D449BC" w:rsidP="00D449BC">
      <w:pPr>
        <w:pStyle w:val="Textoindependiente"/>
        <w:rPr>
          <w:rFonts w:ascii="Calibri" w:hAnsi="Calibri" w:cs="Calibri"/>
          <w:color w:val="595959" w:themeColor="text1" w:themeTint="A6"/>
          <w:sz w:val="26"/>
          <w:szCs w:val="26"/>
        </w:rPr>
      </w:pPr>
    </w:p>
    <w:p w:rsidR="00D449BC" w:rsidRPr="004F5D97" w:rsidRDefault="00D449BC" w:rsidP="00D449B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D449BC" w:rsidRPr="004F5D97" w:rsidRDefault="00D449BC" w:rsidP="00D449BC">
      <w:pPr>
        <w:pStyle w:val="Textoindependiente"/>
        <w:ind w:firstLine="708"/>
        <w:jc w:val="center"/>
        <w:rPr>
          <w:rFonts w:ascii="Calibri" w:hAnsi="Calibri" w:cs="Calibri"/>
          <w:b/>
          <w:bCs/>
          <w:color w:val="595959" w:themeColor="text1" w:themeTint="A6"/>
          <w:sz w:val="26"/>
          <w:szCs w:val="26"/>
        </w:rPr>
      </w:pPr>
    </w:p>
    <w:p w:rsidR="00D449BC" w:rsidRPr="004F5D97" w:rsidRDefault="00D449BC" w:rsidP="00D449BC">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D449BC" w:rsidRPr="004F5D97" w:rsidRDefault="00D449BC" w:rsidP="00D449BC">
      <w:pPr>
        <w:pStyle w:val="Textoindependiente"/>
        <w:rPr>
          <w:rFonts w:ascii="Calibri" w:hAnsi="Calibri" w:cs="Calibri"/>
          <w:b/>
          <w:bCs/>
          <w:color w:val="595959" w:themeColor="text1" w:themeTint="A6"/>
          <w:sz w:val="26"/>
          <w:szCs w:val="26"/>
        </w:rPr>
      </w:pPr>
    </w:p>
    <w:p w:rsidR="00D449BC" w:rsidRPr="004F5D97" w:rsidRDefault="00D449BC" w:rsidP="00D449B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28 veintiocho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D449BC" w:rsidRPr="004F5D97" w:rsidRDefault="00D449BC" w:rsidP="00D449BC">
      <w:pPr>
        <w:jc w:val="both"/>
        <w:rPr>
          <w:rFonts w:ascii="Calibri" w:hAnsi="Calibri" w:cs="Calibri"/>
          <w:b/>
          <w:i/>
          <w:iCs/>
          <w:color w:val="595959" w:themeColor="text1" w:themeTint="A6"/>
          <w:sz w:val="26"/>
          <w:szCs w:val="26"/>
          <w:lang w:val="es-MX"/>
        </w:rPr>
      </w:pPr>
    </w:p>
    <w:p w:rsidR="00D449BC" w:rsidRPr="004F5D97" w:rsidRDefault="00D449BC" w:rsidP="00D449B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375859 (tres-siete-cinco-ocho-cinco-nueve), de fecha 28 veintiocho de mayo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11 once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D449BC" w:rsidRPr="004F5D97" w:rsidRDefault="00D449BC" w:rsidP="00D449BC">
      <w:pPr>
        <w:jc w:val="both"/>
        <w:rPr>
          <w:rFonts w:ascii="Calibri" w:hAnsi="Calibri" w:cs="Calibri"/>
          <w:color w:val="595959" w:themeColor="text1" w:themeTint="A6"/>
          <w:sz w:val="26"/>
          <w:szCs w:val="26"/>
        </w:rPr>
      </w:pPr>
    </w:p>
    <w:p w:rsidR="00D449BC" w:rsidRDefault="00D449BC" w:rsidP="00D449B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0983/2doJAM/2018-JN</w:t>
      </w:r>
    </w:p>
    <w:p w:rsidR="00D449BC" w:rsidRDefault="00D449BC" w:rsidP="00D449BC">
      <w:pPr>
        <w:jc w:val="both"/>
        <w:rPr>
          <w:rFonts w:ascii="Calibri" w:hAnsi="Calibri" w:cs="Calibri"/>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449BC" w:rsidRPr="004F5D97" w:rsidRDefault="00D449BC" w:rsidP="00D449BC">
      <w:pPr>
        <w:jc w:val="both"/>
        <w:rPr>
          <w:rFonts w:ascii="Calibri" w:hAnsi="Calibri" w:cs="Calibri"/>
          <w:b/>
          <w:bCs/>
          <w:i/>
          <w:iCs/>
          <w:color w:val="595959" w:themeColor="text1" w:themeTint="A6"/>
          <w:sz w:val="26"/>
          <w:szCs w:val="26"/>
        </w:rPr>
      </w:pPr>
    </w:p>
    <w:p w:rsidR="00D449BC" w:rsidRPr="004F5D97" w:rsidRDefault="00D449BC" w:rsidP="00D449B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D449BC" w:rsidRPr="004F5D97" w:rsidRDefault="00D449BC" w:rsidP="00D449BC">
      <w:pPr>
        <w:rPr>
          <w:rFonts w:ascii="Calibri" w:hAnsi="Calibri" w:cs="Calibri"/>
          <w:b/>
          <w:color w:val="595959" w:themeColor="text1" w:themeTint="A6"/>
          <w:sz w:val="26"/>
          <w:szCs w:val="26"/>
        </w:rPr>
      </w:pPr>
    </w:p>
    <w:p w:rsidR="00D449BC" w:rsidRPr="00EF51C9" w:rsidRDefault="00D449BC" w:rsidP="00D449BC">
      <w:pPr>
        <w:ind w:firstLine="708"/>
        <w:jc w:val="both"/>
        <w:rPr>
          <w:rFonts w:ascii="Calibri" w:hAnsi="Calibri"/>
          <w:color w:val="767171" w:themeColor="background2" w:themeShade="80"/>
          <w:sz w:val="26"/>
        </w:rPr>
      </w:pPr>
      <w:r w:rsidRPr="00EF51C9">
        <w:rPr>
          <w:rFonts w:ascii="Calibri" w:hAnsi="Calibri"/>
          <w:color w:val="767171" w:themeColor="background2" w:themeShade="80"/>
          <w:sz w:val="26"/>
        </w:rPr>
        <w:t xml:space="preserve">En el presente asunto, </w:t>
      </w:r>
      <w:r>
        <w:rPr>
          <w:rFonts w:ascii="Calibri" w:hAnsi="Calibri"/>
          <w:color w:val="767171" w:themeColor="background2" w:themeShade="80"/>
          <w:sz w:val="26"/>
        </w:rPr>
        <w:t xml:space="preserve">quien resuelve, aprecia que el ciudadano </w:t>
      </w:r>
      <w:proofErr w:type="gramStart"/>
      <w:r>
        <w:rPr>
          <w:rFonts w:ascii="Calibri" w:hAnsi="Calibri"/>
          <w:color w:val="767171" w:themeColor="background2" w:themeShade="80"/>
          <w:sz w:val="26"/>
        </w:rPr>
        <w:t>(....</w:t>
      </w:r>
      <w:proofErr w:type="gramEnd"/>
      <w:r>
        <w:rPr>
          <w:rFonts w:ascii="Calibri" w:hAnsi="Calibri"/>
          <w:color w:val="767171" w:themeColor="background2" w:themeShade="80"/>
          <w:sz w:val="26"/>
        </w:rPr>
        <w:t xml:space="preserve">.), </w:t>
      </w:r>
      <w:r>
        <w:rPr>
          <w:rFonts w:ascii="Calibri" w:hAnsi="Calibri"/>
          <w:b/>
          <w:color w:val="767171" w:themeColor="background2" w:themeShade="80"/>
          <w:sz w:val="26"/>
        </w:rPr>
        <w:t xml:space="preserve">no acredita </w:t>
      </w:r>
      <w:r>
        <w:rPr>
          <w:rFonts w:ascii="Calibri" w:hAnsi="Calibri"/>
          <w:color w:val="767171" w:themeColor="background2" w:themeShade="80"/>
          <w:sz w:val="26"/>
        </w:rPr>
        <w:t xml:space="preserve">de modo alguno, su carácter de representante legal de la Sociedad Mercantil denominada: </w:t>
      </w:r>
      <w:r w:rsidRPr="006B42A0">
        <w:rPr>
          <w:rFonts w:ascii="Calibri" w:hAnsi="Calibri"/>
          <w:i/>
          <w:color w:val="767171" w:themeColor="background2" w:themeShade="80"/>
          <w:sz w:val="26"/>
        </w:rPr>
        <w:t>“</w:t>
      </w:r>
      <w:r>
        <w:rPr>
          <w:rFonts w:ascii="Calibri" w:hAnsi="Calibri"/>
          <w:i/>
          <w:color w:val="767171" w:themeColor="background2" w:themeShade="80"/>
          <w:sz w:val="26"/>
        </w:rPr>
        <w:t>(.....)</w:t>
      </w:r>
      <w:r w:rsidRPr="006B42A0">
        <w:rPr>
          <w:rFonts w:ascii="Calibri" w:hAnsi="Calibri"/>
          <w:i/>
          <w:color w:val="767171" w:themeColor="background2" w:themeShade="80"/>
          <w:sz w:val="26"/>
        </w:rPr>
        <w:t>”,</w:t>
      </w:r>
      <w:r>
        <w:rPr>
          <w:rFonts w:ascii="Calibri" w:hAnsi="Calibri"/>
          <w:color w:val="767171" w:themeColor="background2" w:themeShade="80"/>
          <w:sz w:val="26"/>
        </w:rPr>
        <w:t xml:space="preserve"> por lo que, en consecuencia, </w:t>
      </w:r>
      <w:r w:rsidRPr="00EF51C9">
        <w:rPr>
          <w:rFonts w:ascii="Calibri" w:hAnsi="Calibri"/>
          <w:color w:val="767171" w:themeColor="background2" w:themeShade="80"/>
          <w:sz w:val="26"/>
        </w:rPr>
        <w:t>se actualiza una causal de improcedencia como se muestra a continuación.</w:t>
      </w:r>
      <w:r w:rsidRPr="00EF51C9">
        <w:rPr>
          <w:rFonts w:asciiTheme="minorHAnsi" w:hAnsiTheme="minorHAnsi"/>
          <w:color w:val="767171" w:themeColor="background2" w:themeShade="80"/>
          <w:sz w:val="26"/>
          <w:szCs w:val="26"/>
        </w:rPr>
        <w:t xml:space="preserve"> . . . . . . . . . . . . . . . . . . . . . . . . . </w:t>
      </w:r>
    </w:p>
    <w:p w:rsidR="00D449BC" w:rsidRPr="00EF51C9" w:rsidRDefault="00D449BC" w:rsidP="00D449BC">
      <w:pPr>
        <w:rPr>
          <w:rFonts w:asciiTheme="minorHAnsi" w:hAnsiTheme="minorHAnsi" w:cstheme="minorHAnsi"/>
          <w:b/>
          <w:color w:val="767171" w:themeColor="background2" w:themeShade="80"/>
          <w:sz w:val="26"/>
          <w:szCs w:val="26"/>
        </w:rPr>
      </w:pPr>
    </w:p>
    <w:p w:rsidR="00D449BC" w:rsidRDefault="00D449BC" w:rsidP="00D449BC">
      <w:pPr>
        <w:ind w:firstLine="708"/>
        <w:jc w:val="both"/>
        <w:rPr>
          <w:rFonts w:asciiTheme="minorHAnsi" w:hAnsiTheme="minorHAnsi" w:cstheme="minorHAnsi"/>
          <w:color w:val="767171" w:themeColor="background2" w:themeShade="80"/>
          <w:sz w:val="26"/>
          <w:szCs w:val="26"/>
        </w:rPr>
      </w:pPr>
      <w:r w:rsidRPr="00EF51C9">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sidRPr="00EF51C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EF51C9">
        <w:rPr>
          <w:rFonts w:asciiTheme="minorHAnsi" w:hAnsiTheme="minorHAnsi" w:cstheme="minorHAnsi"/>
          <w:b/>
          <w:color w:val="767171" w:themeColor="background2" w:themeShade="80"/>
          <w:sz w:val="26"/>
          <w:szCs w:val="26"/>
        </w:rPr>
        <w:t>”</w:t>
      </w:r>
      <w:r w:rsidRPr="00EF51C9">
        <w:rPr>
          <w:rFonts w:asciiTheme="minorHAnsi" w:hAnsiTheme="minorHAnsi" w:cstheme="minorHAnsi"/>
          <w:bCs/>
          <w:iCs/>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Theme="minorHAnsi" w:hAnsiTheme="minorHAnsi" w:cstheme="minorHAns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titular de la Notaría Pública número 82 ochenta y dos, en legal ejercicio en el Partido Judicial de León, Guanajuato; en la cual se hizo constar que la sociedad mercantil denominada: </w:t>
      </w:r>
      <w:r w:rsidRPr="00EF51C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EF51C9">
        <w:rPr>
          <w:rFonts w:asciiTheme="minorHAnsi" w:hAnsiTheme="minorHAnsi" w:cstheme="minorHAnsi"/>
          <w:b/>
          <w: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-a través de su Apoderado, señor </w:t>
      </w:r>
      <w:r>
        <w:rPr>
          <w:rFonts w:asciiTheme="minorHAnsi" w:hAnsiTheme="minorHAnsi" w:cstheme="minorHAns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otorgó a favor de entre otras personas, al ciudadano </w:t>
      </w:r>
      <w:r>
        <w:rPr>
          <w:rFonts w:asciiTheme="minorHAnsi" w:hAnsiTheme="minorHAnsi" w:cstheme="minorHAns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w:t>
      </w:r>
    </w:p>
    <w:p w:rsidR="00D449BC" w:rsidRPr="00EF51C9" w:rsidRDefault="00D449BC" w:rsidP="00D449BC">
      <w:pPr>
        <w:ind w:firstLine="708"/>
        <w:jc w:val="both"/>
        <w:rPr>
          <w:rFonts w:asciiTheme="minorHAnsi" w:hAnsiTheme="minorHAnsi" w:cstheme="minorHAnsi"/>
          <w:color w:val="767171" w:themeColor="background2" w:themeShade="80"/>
          <w:sz w:val="26"/>
          <w:szCs w:val="26"/>
        </w:rPr>
      </w:pPr>
    </w:p>
    <w:p w:rsidR="00D449BC" w:rsidRPr="00EF51C9" w:rsidRDefault="00D449BC" w:rsidP="00D449BC">
      <w:pPr>
        <w:ind w:firstLine="708"/>
        <w:jc w:val="both"/>
        <w:rPr>
          <w:rFonts w:asciiTheme="minorHAnsi" w:hAnsiTheme="minorHAnsi" w:cstheme="minorHAnsi"/>
          <w:color w:val="767171" w:themeColor="background2" w:themeShade="80"/>
          <w:sz w:val="26"/>
          <w:szCs w:val="26"/>
        </w:rPr>
      </w:pPr>
      <w:r w:rsidRPr="00EF51C9">
        <w:rPr>
          <w:rFonts w:asciiTheme="minorHAnsi" w:hAnsiTheme="minorHAnsi" w:cstheme="minorHAnsi"/>
          <w:color w:val="767171" w:themeColor="background2" w:themeShade="80"/>
          <w:sz w:val="26"/>
          <w:szCs w:val="26"/>
        </w:rPr>
        <w:t xml:space="preserve">Escritura Pública que fue presentada en copia certificada expedida por el Licenciado </w:t>
      </w:r>
      <w:r>
        <w:rPr>
          <w:rFonts w:asciiTheme="minorHAnsi" w:hAnsiTheme="minorHAnsi" w:cstheme="minorHAnsi"/>
          <w:color w:val="767171" w:themeColor="background2" w:themeShade="80"/>
          <w:sz w:val="26"/>
          <w:szCs w:val="26"/>
        </w:rPr>
        <w:t>(.....)</w:t>
      </w:r>
      <w:r w:rsidRPr="00EF51C9">
        <w:rPr>
          <w:rFonts w:asciiTheme="minorHAnsi" w:hAnsiTheme="minorHAnsi" w:cstheme="minorHAnsi"/>
          <w:color w:val="767171" w:themeColor="background2" w:themeShade="80"/>
          <w:sz w:val="26"/>
          <w:szCs w:val="26"/>
        </w:rPr>
        <w:t>, Notario Público número 99 noventa y nueve del Partido Judicial de León, Guanajuato (visible en autos a fojas de la 15 quince</w:t>
      </w:r>
      <w:r>
        <w:rPr>
          <w:rFonts w:asciiTheme="minorHAnsi" w:hAnsiTheme="minorHAnsi" w:cstheme="minorHAnsi"/>
          <w:color w:val="767171" w:themeColor="background2" w:themeShade="80"/>
          <w:sz w:val="26"/>
          <w:szCs w:val="26"/>
        </w:rPr>
        <w:t xml:space="preserve"> a la 19 diecinueve</w:t>
      </w:r>
      <w:r w:rsidRPr="00EF51C9">
        <w:rPr>
          <w:rFonts w:asciiTheme="minorHAnsi" w:hAnsiTheme="minorHAnsi" w:cstheme="minorHAns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no obstante, ser un documento público y tiene valor probatorio, de conformidad con lo dispuesto en el artículo 121 del citado Código; es a todas luces deficiente para acreditar que el ciudadano </w:t>
      </w:r>
      <w:r>
        <w:rPr>
          <w:rFonts w:asciiTheme="minorHAnsi" w:hAnsiTheme="minorHAnsi" w:cstheme="minorHAnsi"/>
          <w:b/>
          <w:color w:val="767171" w:themeColor="background2" w:themeShade="80"/>
          <w:sz w:val="26"/>
          <w:szCs w:val="26"/>
        </w:rPr>
        <w:t>(.....)</w:t>
      </w:r>
      <w:r w:rsidRPr="00EF51C9">
        <w:rPr>
          <w:rFonts w:asciiTheme="minorHAnsi" w:hAnsiTheme="minorHAnsi" w:cstheme="minorHAnsi"/>
          <w:b/>
          <w:color w:val="767171" w:themeColor="background2" w:themeShade="80"/>
          <w:sz w:val="26"/>
          <w:szCs w:val="26"/>
        </w:rPr>
        <w:t xml:space="preserve"> </w:t>
      </w:r>
      <w:r w:rsidRPr="00EF51C9">
        <w:rPr>
          <w:rFonts w:asciiTheme="minorHAnsi" w:hAnsiTheme="minorHAnsi" w:cstheme="minorHAnsi"/>
          <w:color w:val="767171" w:themeColor="background2" w:themeShade="80"/>
          <w:sz w:val="26"/>
          <w:szCs w:val="26"/>
        </w:rPr>
        <w:t xml:space="preserve">tiene el carácter de Apoderado General para pleitos y cobranzas de la persona moral denominada </w:t>
      </w:r>
      <w:r w:rsidRPr="00EF51C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EF51C9">
        <w:rPr>
          <w:rFonts w:asciiTheme="minorHAnsi" w:hAnsiTheme="minorHAnsi" w:cstheme="minorHAnsi"/>
          <w:b/>
          <w:color w:val="767171" w:themeColor="background2" w:themeShade="80"/>
          <w:sz w:val="26"/>
          <w:szCs w:val="26"/>
        </w:rPr>
        <w:t>”</w:t>
      </w:r>
      <w:r w:rsidRPr="00EF51C9">
        <w:rPr>
          <w:rFonts w:asciiTheme="minorHAnsi" w:hAnsiTheme="minorHAnsi" w:cstheme="minorHAnsi"/>
          <w:bCs/>
          <w:iCs/>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pues el poder que exhibe lo autoriza únicamente para representar a la persona moral denominada </w:t>
      </w:r>
      <w:r w:rsidRPr="00EF51C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EF51C9">
        <w:rPr>
          <w:rFonts w:asciiTheme="minorHAnsi" w:hAnsiTheme="minorHAnsi" w:cstheme="minorHAnsi"/>
          <w:b/>
          <w: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una persona moral diferente a la que dice representar, por ende, dicha persona </w:t>
      </w:r>
      <w:r w:rsidRPr="00EF51C9">
        <w:rPr>
          <w:rFonts w:asciiTheme="minorHAnsi" w:hAnsiTheme="minorHAnsi" w:cstheme="minorHAnsi"/>
          <w:b/>
          <w:color w:val="767171" w:themeColor="background2" w:themeShade="80"/>
          <w:sz w:val="26"/>
          <w:szCs w:val="26"/>
        </w:rPr>
        <w:t>no está</w:t>
      </w:r>
      <w:r w:rsidRPr="00EF51C9">
        <w:rPr>
          <w:rFonts w:asciiTheme="minorHAnsi" w:hAnsiTheme="minorHAnsi" w:cstheme="minorHAnsi"/>
          <w:color w:val="767171" w:themeColor="background2" w:themeShade="80"/>
          <w:sz w:val="26"/>
          <w:szCs w:val="26"/>
        </w:rPr>
        <w:t xml:space="preserve"> facultada para comparecer, promover e intervenir en el presente proceso, </w:t>
      </w:r>
      <w:r w:rsidRPr="00EF51C9">
        <w:rPr>
          <w:rFonts w:asciiTheme="minorHAnsi" w:hAnsiTheme="minorHAnsi" w:cstheme="minorHAnsi"/>
          <w:bCs/>
          <w:iCs/>
          <w:color w:val="767171" w:themeColor="background2" w:themeShade="80"/>
          <w:sz w:val="26"/>
          <w:szCs w:val="26"/>
        </w:rPr>
        <w:t xml:space="preserve">a nombre de </w:t>
      </w:r>
      <w:r w:rsidRPr="00EF51C9">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EF51C9">
        <w:rPr>
          <w:rFonts w:asciiTheme="minorHAnsi" w:hAnsiTheme="minorHAnsi" w:cstheme="minorHAnsi"/>
          <w:color w:val="767171" w:themeColor="background2" w:themeShade="80"/>
          <w:sz w:val="26"/>
          <w:szCs w:val="26"/>
        </w:rPr>
        <w:t xml:space="preserve">”; de ahí que el </w:t>
      </w:r>
      <w:proofErr w:type="spellStart"/>
      <w:r w:rsidRPr="00EF51C9">
        <w:rPr>
          <w:rFonts w:asciiTheme="minorHAnsi" w:hAnsiTheme="minorHAnsi" w:cstheme="minorHAnsi"/>
          <w:color w:val="767171" w:themeColor="background2" w:themeShade="80"/>
          <w:sz w:val="26"/>
          <w:szCs w:val="26"/>
        </w:rPr>
        <w:t>promovente</w:t>
      </w:r>
      <w:proofErr w:type="spellEnd"/>
      <w:r w:rsidRPr="00EF51C9">
        <w:rPr>
          <w:rFonts w:asciiTheme="minorHAnsi" w:hAnsiTheme="minorHAnsi" w:cstheme="minorHAnsi"/>
          <w:color w:val="767171" w:themeColor="background2" w:themeShade="80"/>
          <w:sz w:val="26"/>
          <w:szCs w:val="26"/>
        </w:rPr>
        <w:t xml:space="preserve"> no se encuentre legitimado para intervenir en el presente proceso. . </w:t>
      </w:r>
      <w:r>
        <w:rPr>
          <w:rFonts w:asciiTheme="minorHAnsi" w:hAnsiTheme="minorHAnsi" w:cstheme="minorHAnsi"/>
          <w:color w:val="767171" w:themeColor="background2" w:themeShade="80"/>
          <w:sz w:val="26"/>
          <w:szCs w:val="26"/>
        </w:rPr>
        <w:t xml:space="preserve">. . . . . . . . . . . . . . . . . . . . . . . . . . . . . . . . . . . . . . . . . . . . . . . . </w:t>
      </w:r>
    </w:p>
    <w:p w:rsidR="00D449BC" w:rsidRPr="00EF51C9" w:rsidRDefault="00D449BC" w:rsidP="00D449BC">
      <w:pPr>
        <w:ind w:firstLine="708"/>
        <w:jc w:val="both"/>
        <w:rPr>
          <w:rFonts w:asciiTheme="minorHAnsi" w:hAnsiTheme="minorHAnsi" w:cstheme="minorHAnsi"/>
          <w:color w:val="767171" w:themeColor="background2" w:themeShade="80"/>
          <w:sz w:val="26"/>
          <w:szCs w:val="26"/>
        </w:rPr>
      </w:pPr>
    </w:p>
    <w:p w:rsidR="00D449BC" w:rsidRPr="00EF51C9" w:rsidRDefault="00D449BC" w:rsidP="00D449BC">
      <w:pPr>
        <w:ind w:firstLine="708"/>
        <w:jc w:val="both"/>
        <w:rPr>
          <w:rFonts w:asciiTheme="minorHAnsi" w:hAnsiTheme="minorHAnsi" w:cstheme="minorHAnsi"/>
          <w:color w:val="767171" w:themeColor="background2" w:themeShade="80"/>
          <w:sz w:val="26"/>
          <w:szCs w:val="26"/>
        </w:rPr>
      </w:pPr>
      <w:r w:rsidRPr="00EF51C9">
        <w:rPr>
          <w:rFonts w:asciiTheme="minorHAnsi" w:hAnsiTheme="minorHAnsi" w:cstheme="minorHAnsi"/>
          <w:color w:val="767171" w:themeColor="background2" w:themeShade="80"/>
          <w:sz w:val="26"/>
          <w:szCs w:val="26"/>
        </w:rPr>
        <w:t xml:space="preserve">Lo anterior es así toda vez que se incumple en el presente asunto, con lo señalado en el artículo 11 del código de la materia, al no haberse otorgado la representación del </w:t>
      </w:r>
      <w:r>
        <w:rPr>
          <w:rFonts w:asciiTheme="minorHAnsi" w:hAnsiTheme="minorHAnsi" w:cstheme="minorHAnsi"/>
          <w:color w:val="767171" w:themeColor="background2" w:themeShade="80"/>
          <w:sz w:val="26"/>
          <w:szCs w:val="26"/>
        </w:rPr>
        <w:t>impetrante del proceso</w:t>
      </w:r>
      <w:r w:rsidRPr="00EF51C9">
        <w:rPr>
          <w:rFonts w:asciiTheme="minorHAnsi" w:hAnsiTheme="minorHAnsi" w:cstheme="minorHAnsi"/>
          <w:color w:val="767171" w:themeColor="background2" w:themeShade="80"/>
          <w:sz w:val="26"/>
          <w:szCs w:val="26"/>
        </w:rPr>
        <w:t xml:space="preserve"> mediante Escritura pública o mediante carta poder firmada y ratificada ante Notario Público</w:t>
      </w:r>
      <w:r w:rsidRPr="00EF51C9">
        <w:rPr>
          <w:rFonts w:ascii="Calibri" w:hAnsi="Calibri"/>
          <w:color w:val="767171" w:themeColor="background2" w:themeShade="80"/>
          <w:sz w:val="26"/>
        </w:rPr>
        <w:t>. . . . . . . . . . . . . .</w:t>
      </w:r>
      <w:r>
        <w:rPr>
          <w:rFonts w:ascii="Calibri" w:hAnsi="Calibri"/>
          <w:color w:val="767171" w:themeColor="background2" w:themeShade="80"/>
          <w:sz w:val="26"/>
        </w:rPr>
        <w:t xml:space="preserve"> . . . .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w:t>
      </w:r>
    </w:p>
    <w:p w:rsidR="00D449BC" w:rsidRPr="00EF51C9" w:rsidRDefault="00D449BC" w:rsidP="00D449BC">
      <w:pPr>
        <w:jc w:val="both"/>
        <w:rPr>
          <w:rFonts w:ascii="Calibri" w:hAnsi="Calibri"/>
          <w:color w:val="767171" w:themeColor="background2" w:themeShade="80"/>
          <w:sz w:val="20"/>
          <w:szCs w:val="20"/>
        </w:rPr>
      </w:pPr>
    </w:p>
    <w:p w:rsidR="00D449BC" w:rsidRDefault="00D449BC" w:rsidP="00D449BC">
      <w:pPr>
        <w:ind w:firstLine="708"/>
        <w:jc w:val="both"/>
        <w:rPr>
          <w:rFonts w:ascii="Calibri" w:hAnsi="Calibri"/>
          <w:iCs/>
          <w:color w:val="767171" w:themeColor="background2" w:themeShade="80"/>
          <w:sz w:val="26"/>
        </w:rPr>
      </w:pPr>
      <w:r w:rsidRPr="00EF51C9">
        <w:rPr>
          <w:rFonts w:ascii="Calibri" w:hAnsi="Calibri"/>
          <w:color w:val="767171" w:themeColor="background2" w:themeShade="80"/>
          <w:sz w:val="26"/>
        </w:rPr>
        <w:t xml:space="preserve">Luego entonces, al no quedar debidamente demostrada </w:t>
      </w:r>
      <w:r w:rsidRPr="00EF51C9">
        <w:rPr>
          <w:rFonts w:ascii="Calibri" w:hAnsi="Calibri"/>
          <w:color w:val="767171" w:themeColor="background2" w:themeShade="80"/>
          <w:sz w:val="26"/>
          <w:szCs w:val="27"/>
        </w:rPr>
        <w:t xml:space="preserve">la personalidad </w:t>
      </w:r>
      <w:r w:rsidRPr="00EF51C9">
        <w:rPr>
          <w:rFonts w:ascii="Calibri" w:hAnsi="Calibri"/>
          <w:color w:val="767171" w:themeColor="background2" w:themeShade="80"/>
          <w:sz w:val="26"/>
        </w:rPr>
        <w:t xml:space="preserve">del </w:t>
      </w:r>
      <w:r>
        <w:rPr>
          <w:rFonts w:ascii="Calibri" w:hAnsi="Calibri"/>
          <w:color w:val="767171" w:themeColor="background2" w:themeShade="80"/>
          <w:sz w:val="26"/>
        </w:rPr>
        <w:t xml:space="preserve">actor, </w:t>
      </w:r>
      <w:r w:rsidRPr="00EF51C9">
        <w:rPr>
          <w:rFonts w:ascii="Calibri" w:hAnsi="Calibri"/>
          <w:color w:val="767171" w:themeColor="background2" w:themeShade="80"/>
          <w:sz w:val="26"/>
        </w:rPr>
        <w:t xml:space="preserve">ciudadano </w:t>
      </w:r>
      <w:proofErr w:type="gramStart"/>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w:t>
      </w:r>
      <w:r w:rsidRPr="00EF51C9">
        <w:rPr>
          <w:rFonts w:ascii="Calibri" w:hAnsi="Calibri"/>
          <w:color w:val="767171" w:themeColor="background2" w:themeShade="80"/>
          <w:sz w:val="26"/>
          <w:szCs w:val="27"/>
        </w:rPr>
        <w:t>; d</w:t>
      </w:r>
      <w:r w:rsidRPr="00EF51C9">
        <w:rPr>
          <w:rFonts w:ascii="Calibri" w:hAnsi="Calibri"/>
          <w:color w:val="767171" w:themeColor="background2" w:themeShade="80"/>
          <w:sz w:val="26"/>
        </w:rPr>
        <w:t xml:space="preserve">ebe concluirse que adolece de legitimación o capacidad procesal </w:t>
      </w:r>
      <w:r w:rsidRPr="00EF51C9">
        <w:rPr>
          <w:rFonts w:ascii="Calibri" w:hAnsi="Calibri"/>
          <w:color w:val="767171" w:themeColor="background2" w:themeShade="80"/>
          <w:sz w:val="26"/>
          <w:szCs w:val="27"/>
        </w:rPr>
        <w:t xml:space="preserve">-que es la aptitud de las personas para actuaren un proceso determinado; por sí o en representación de otros-; en este caso, </w:t>
      </w:r>
      <w:r w:rsidRPr="00EF51C9">
        <w:rPr>
          <w:rFonts w:ascii="Calibri" w:hAnsi="Calibri"/>
          <w:color w:val="767171" w:themeColor="background2" w:themeShade="80"/>
          <w:sz w:val="26"/>
        </w:rPr>
        <w:t xml:space="preserve">para poder actuar como apoderado de la persona moral denominada: </w:t>
      </w:r>
      <w:r w:rsidRPr="00EF51C9">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EF51C9">
        <w:rPr>
          <w:rFonts w:asciiTheme="minorHAnsi" w:hAnsiTheme="minorHAnsi" w:cstheme="minorHAnsi"/>
          <w:b/>
          <w:color w:val="767171" w:themeColor="background2" w:themeShade="80"/>
          <w:sz w:val="26"/>
          <w:szCs w:val="26"/>
        </w:rPr>
        <w:t>”</w:t>
      </w:r>
      <w:r w:rsidRPr="00EF51C9">
        <w:rPr>
          <w:rFonts w:ascii="Calibri" w:hAnsi="Calibri"/>
          <w:iCs/>
          <w:color w:val="767171" w:themeColor="background2" w:themeShade="80"/>
          <w:sz w:val="26"/>
        </w:rPr>
        <w:t>.</w:t>
      </w:r>
      <w:r>
        <w:rPr>
          <w:rFonts w:ascii="Calibri" w:hAnsi="Calibri"/>
          <w:iCs/>
          <w:color w:val="767171" w:themeColor="background2" w:themeShade="80"/>
          <w:sz w:val="26"/>
        </w:rPr>
        <w:t xml:space="preserve"> .</w:t>
      </w:r>
      <w:r w:rsidRPr="00EF51C9">
        <w:rPr>
          <w:rFonts w:ascii="Calibri" w:hAnsi="Calibri"/>
          <w:iCs/>
          <w:color w:val="767171" w:themeColor="background2" w:themeShade="80"/>
          <w:sz w:val="26"/>
        </w:rPr>
        <w:t xml:space="preserve"> . . . . . . . . . . . . . . . . . . . . . . . . . . . </w:t>
      </w:r>
    </w:p>
    <w:p w:rsidR="00D449BC" w:rsidRPr="00EF51C9" w:rsidRDefault="00D449BC" w:rsidP="00D449BC">
      <w:pPr>
        <w:ind w:firstLine="708"/>
        <w:jc w:val="both"/>
        <w:rPr>
          <w:rFonts w:ascii="Calibri" w:hAnsi="Calibri"/>
          <w:iCs/>
          <w:color w:val="767171" w:themeColor="background2" w:themeShade="80"/>
          <w:sz w:val="20"/>
          <w:szCs w:val="20"/>
        </w:rPr>
      </w:pPr>
    </w:p>
    <w:p w:rsidR="00D449BC" w:rsidRPr="00EF51C9" w:rsidRDefault="00D449BC" w:rsidP="00D449BC">
      <w:pPr>
        <w:ind w:firstLine="708"/>
        <w:jc w:val="both"/>
        <w:rPr>
          <w:rFonts w:ascii="Calibri" w:hAnsi="Calibri"/>
          <w:color w:val="767171" w:themeColor="background2" w:themeShade="80"/>
          <w:sz w:val="26"/>
          <w:szCs w:val="27"/>
        </w:rPr>
      </w:pPr>
      <w:r w:rsidRPr="00EF51C9">
        <w:rPr>
          <w:rFonts w:ascii="Calibri" w:hAnsi="Calibri"/>
          <w:color w:val="767171" w:themeColor="background2" w:themeShade="80"/>
          <w:sz w:val="26"/>
          <w:szCs w:val="27"/>
        </w:rPr>
        <w:t xml:space="preserve">De ahí que se actualiza, la causal de improcedencia prevista en la fracción VII del artículo 261, en relación con los artículos 11, 22, segundo párrafo, y 266, fracción III, todos del Código de Procedimiento y Justicia Administrativa para el Estado y los Municipios de Guanajuato; por lo que procede </w:t>
      </w:r>
      <w:r w:rsidRPr="00EF51C9">
        <w:rPr>
          <w:rFonts w:ascii="Calibri" w:hAnsi="Calibri"/>
          <w:b/>
          <w:color w:val="767171" w:themeColor="background2" w:themeShade="80"/>
          <w:sz w:val="26"/>
          <w:szCs w:val="27"/>
        </w:rPr>
        <w:t>sobreseer</w:t>
      </w:r>
      <w:r w:rsidRPr="00EF51C9">
        <w:rPr>
          <w:rFonts w:ascii="Calibri" w:hAnsi="Calibri"/>
          <w:color w:val="767171" w:themeColor="background2" w:themeShade="80"/>
          <w:sz w:val="26"/>
          <w:szCs w:val="27"/>
        </w:rPr>
        <w:t xml:space="preserve"> el presente proceso administrativo, de conformidad a lo que instituye la fracción II del artículo 262 del Código de Procedimiento y Justicia Administrativa antes citado. . . . . . </w:t>
      </w:r>
      <w:proofErr w:type="gramStart"/>
      <w:r w:rsidRPr="00EF51C9">
        <w:rPr>
          <w:rFonts w:ascii="Calibri" w:hAnsi="Calibri"/>
          <w:color w:val="767171" w:themeColor="background2" w:themeShade="80"/>
          <w:sz w:val="26"/>
          <w:szCs w:val="27"/>
        </w:rPr>
        <w:t>. . . .</w:t>
      </w:r>
      <w:proofErr w:type="gramEnd"/>
      <w:r w:rsidRPr="00EF51C9">
        <w:rPr>
          <w:rFonts w:ascii="Calibri" w:hAnsi="Calibri"/>
          <w:color w:val="767171" w:themeColor="background2" w:themeShade="80"/>
          <w:sz w:val="26"/>
          <w:szCs w:val="27"/>
        </w:rPr>
        <w:t xml:space="preserve"> </w:t>
      </w:r>
    </w:p>
    <w:p w:rsidR="00D449BC" w:rsidRPr="00EF51C9" w:rsidRDefault="00D449BC" w:rsidP="00D449BC">
      <w:pPr>
        <w:ind w:firstLine="708"/>
        <w:jc w:val="both"/>
        <w:rPr>
          <w:rFonts w:ascii="Calibri" w:hAnsi="Calibri"/>
          <w:color w:val="767171" w:themeColor="background2" w:themeShade="80"/>
          <w:sz w:val="20"/>
          <w:szCs w:val="20"/>
        </w:rPr>
      </w:pPr>
    </w:p>
    <w:p w:rsidR="00D449BC" w:rsidRPr="00EF51C9" w:rsidRDefault="00D449BC" w:rsidP="00D449BC">
      <w:pPr>
        <w:ind w:firstLine="708"/>
        <w:jc w:val="both"/>
        <w:rPr>
          <w:rFonts w:ascii="Calibri" w:hAnsi="Calibri"/>
          <w:color w:val="767171" w:themeColor="background2" w:themeShade="80"/>
          <w:sz w:val="26"/>
          <w:szCs w:val="26"/>
        </w:rPr>
      </w:pPr>
      <w:r w:rsidRPr="00EF51C9">
        <w:rPr>
          <w:rFonts w:ascii="Calibri" w:hAnsi="Calibri" w:cs="Arial"/>
          <w:color w:val="767171" w:themeColor="background2" w:themeShade="80"/>
          <w:sz w:val="26"/>
          <w:szCs w:val="22"/>
          <w:lang w:val="es-MX"/>
        </w:rPr>
        <w:t xml:space="preserve">Al caso resulta aplicable, </w:t>
      </w:r>
      <w:r w:rsidRPr="00EF51C9">
        <w:rPr>
          <w:rFonts w:ascii="Calibri" w:hAnsi="Calibri"/>
          <w:color w:val="767171" w:themeColor="background2" w:themeShade="80"/>
          <w:sz w:val="26"/>
          <w:szCs w:val="26"/>
        </w:rPr>
        <w:t xml:space="preserve">el criterio que sostiene la Cuarta Sala del Tribunal de Justicia Administrativa del Estado de Guanajuato; visible en la publicación titulada </w:t>
      </w:r>
      <w:r w:rsidRPr="00EF51C9">
        <w:rPr>
          <w:rFonts w:ascii="Calibri" w:hAnsi="Calibri"/>
          <w:i/>
          <w:iCs/>
          <w:color w:val="767171" w:themeColor="background2" w:themeShade="80"/>
          <w:sz w:val="26"/>
          <w:szCs w:val="26"/>
        </w:rPr>
        <w:t>“Criterios 2000-2008”</w:t>
      </w:r>
      <w:r w:rsidRPr="00EF51C9">
        <w:rPr>
          <w:rFonts w:ascii="Calibri" w:hAnsi="Calibri"/>
          <w:color w:val="767171" w:themeColor="background2" w:themeShade="80"/>
          <w:sz w:val="26"/>
          <w:szCs w:val="26"/>
        </w:rPr>
        <w:t xml:space="preserve">, en su página 61 sesenta y uno, y que es el siguiente: </w:t>
      </w:r>
    </w:p>
    <w:p w:rsidR="00D449BC" w:rsidRPr="00EF51C9" w:rsidRDefault="00D449BC" w:rsidP="00D449BC">
      <w:pPr>
        <w:ind w:firstLine="708"/>
        <w:jc w:val="both"/>
        <w:rPr>
          <w:rFonts w:ascii="Calibri" w:hAnsi="Calibri"/>
          <w:color w:val="767171" w:themeColor="background2" w:themeShade="80"/>
          <w:sz w:val="20"/>
          <w:szCs w:val="20"/>
        </w:rPr>
      </w:pPr>
    </w:p>
    <w:p w:rsidR="00D449BC" w:rsidRPr="00EF51C9" w:rsidRDefault="00D449BC" w:rsidP="00D449BC">
      <w:pPr>
        <w:ind w:firstLine="708"/>
        <w:jc w:val="both"/>
        <w:rPr>
          <w:rFonts w:ascii="Calibri" w:hAnsi="Calibri"/>
          <w:color w:val="767171" w:themeColor="background2" w:themeShade="80"/>
          <w:sz w:val="26"/>
        </w:rPr>
      </w:pPr>
      <w:r w:rsidRPr="00EF51C9">
        <w:rPr>
          <w:rFonts w:ascii="Calibri" w:hAnsi="Calibri" w:cs="Goudy"/>
          <w:b/>
          <w:bCs/>
          <w:i/>
          <w:iCs/>
          <w:color w:val="767171" w:themeColor="background2" w:themeShade="80"/>
          <w:sz w:val="26"/>
        </w:rPr>
        <w:t>“PERSONALIDAD. FALTA DE ACREDITAMIENTO DE LA. SOBRESEIMIENTO EN SENTENCIA</w:t>
      </w:r>
      <w:r w:rsidRPr="00EF51C9">
        <w:rPr>
          <w:rFonts w:ascii="Calibri" w:hAnsi="Calibri" w:cs="Goudy"/>
          <w:i/>
          <w:iCs/>
          <w:color w:val="767171" w:themeColor="background2" w:themeShade="80"/>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EF51C9">
        <w:rPr>
          <w:rFonts w:ascii="Calibri" w:hAnsi="Calibri" w:cs="Goudy"/>
          <w:i/>
          <w:iCs/>
          <w:color w:val="767171" w:themeColor="background2" w:themeShade="80"/>
          <w:sz w:val="26"/>
        </w:rPr>
        <w:t>promovente</w:t>
      </w:r>
      <w:proofErr w:type="spellEnd"/>
      <w:r w:rsidRPr="00EF51C9">
        <w:rPr>
          <w:rFonts w:ascii="Calibri" w:hAnsi="Calibri" w:cs="Goudy"/>
          <w:i/>
          <w:iCs/>
          <w:color w:val="767171" w:themeColor="background2" w:themeShade="80"/>
          <w:sz w:val="26"/>
        </w:rPr>
        <w:t xml:space="preserve"> no acreditó tener la representación con que se hace ostentar en la demanda de nulidad, no es momento oportuno de requerir al </w:t>
      </w:r>
      <w:proofErr w:type="spellStart"/>
      <w:r w:rsidRPr="00EF51C9">
        <w:rPr>
          <w:rFonts w:ascii="Calibri" w:hAnsi="Calibri" w:cs="Goudy"/>
          <w:i/>
          <w:iCs/>
          <w:color w:val="767171" w:themeColor="background2" w:themeShade="80"/>
          <w:sz w:val="26"/>
        </w:rPr>
        <w:t>promovente</w:t>
      </w:r>
      <w:proofErr w:type="spellEnd"/>
      <w:r w:rsidRPr="00EF51C9">
        <w:rPr>
          <w:rFonts w:ascii="Calibri" w:hAnsi="Calibri" w:cs="Goudy"/>
          <w:i/>
          <w:iCs/>
          <w:color w:val="767171" w:themeColor="background2" w:themeShade="80"/>
          <w:sz w:val="26"/>
        </w:rPr>
        <w:t xml:space="preserv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EF51C9">
        <w:rPr>
          <w:rFonts w:ascii="Calibri" w:hAnsi="Calibri" w:cs="Goudy"/>
          <w:color w:val="767171" w:themeColor="background2" w:themeShade="80"/>
          <w:sz w:val="22"/>
        </w:rPr>
        <w:t xml:space="preserve">( </w:t>
      </w:r>
      <w:proofErr w:type="spellStart"/>
      <w:r w:rsidRPr="00EF51C9">
        <w:rPr>
          <w:rFonts w:ascii="Calibri" w:hAnsi="Calibri" w:cs="Goudy"/>
          <w:color w:val="767171" w:themeColor="background2" w:themeShade="80"/>
          <w:sz w:val="22"/>
        </w:rPr>
        <w:t>Exp</w:t>
      </w:r>
      <w:proofErr w:type="spellEnd"/>
      <w:proofErr w:type="gramEnd"/>
      <w:r w:rsidRPr="00EF51C9">
        <w:rPr>
          <w:rFonts w:ascii="Calibri" w:hAnsi="Calibri" w:cs="Goudy"/>
          <w:color w:val="767171" w:themeColor="background2" w:themeShade="80"/>
          <w:sz w:val="22"/>
        </w:rPr>
        <w:t>. 2.340/2000. Sentencia de fecha 30 de abril de 2000. Actor: Candelaria Castillo González.</w:t>
      </w:r>
      <w:proofErr w:type="gramStart"/>
      <w:r w:rsidRPr="00EF51C9">
        <w:rPr>
          <w:rFonts w:ascii="Calibri" w:hAnsi="Calibri" w:cs="Goudy"/>
          <w:color w:val="767171" w:themeColor="background2" w:themeShade="80"/>
          <w:sz w:val="22"/>
        </w:rPr>
        <w:t>)</w:t>
      </w:r>
      <w:r w:rsidRPr="00EF51C9">
        <w:rPr>
          <w:rFonts w:ascii="Calibri" w:hAnsi="Calibri" w:cs="Goudy"/>
          <w:b/>
          <w:i/>
          <w:color w:val="767171" w:themeColor="background2" w:themeShade="80"/>
          <w:sz w:val="22"/>
        </w:rPr>
        <w:t>”</w:t>
      </w:r>
      <w:r w:rsidRPr="00EF51C9">
        <w:rPr>
          <w:rFonts w:ascii="Calibri" w:hAnsi="Calibri" w:cs="Goudy"/>
          <w:color w:val="767171" w:themeColor="background2" w:themeShade="80"/>
          <w:sz w:val="22"/>
        </w:rPr>
        <w:t>. . .</w:t>
      </w:r>
      <w:proofErr w:type="gramEnd"/>
      <w:r w:rsidRPr="00EF51C9">
        <w:rPr>
          <w:rFonts w:ascii="Calibri" w:hAnsi="Calibri" w:cs="Goudy"/>
          <w:color w:val="767171" w:themeColor="background2" w:themeShade="80"/>
          <w:sz w:val="22"/>
        </w:rPr>
        <w:t xml:space="preserve"> . . . . . . . . . . . . .</w:t>
      </w:r>
    </w:p>
    <w:p w:rsidR="00D449BC" w:rsidRPr="00EF51C9" w:rsidRDefault="00D449BC" w:rsidP="00D449BC">
      <w:pPr>
        <w:jc w:val="both"/>
        <w:rPr>
          <w:rFonts w:ascii="Calibri" w:hAnsi="Calibri"/>
          <w:color w:val="767171" w:themeColor="background2" w:themeShade="80"/>
          <w:sz w:val="20"/>
          <w:szCs w:val="20"/>
        </w:rPr>
      </w:pPr>
    </w:p>
    <w:p w:rsidR="00D449BC" w:rsidRPr="00EF51C9" w:rsidRDefault="00D449BC" w:rsidP="00D449BC">
      <w:pPr>
        <w:spacing w:after="120"/>
        <w:ind w:firstLine="708"/>
        <w:jc w:val="both"/>
        <w:rPr>
          <w:rFonts w:asciiTheme="minorHAnsi" w:eastAsia="Times New Roman" w:hAnsiTheme="minorHAnsi" w:cstheme="minorHAnsi"/>
          <w:color w:val="767171" w:themeColor="background2" w:themeShade="80"/>
          <w:sz w:val="26"/>
          <w:szCs w:val="26"/>
        </w:rPr>
      </w:pPr>
      <w:r w:rsidRPr="00EF51C9">
        <w:rPr>
          <w:rFonts w:asciiTheme="minorHAnsi" w:eastAsia="Times New Roman" w:hAnsiTheme="minorHAnsi" w:cstheme="minorHAnsi"/>
          <w:b/>
          <w:bCs/>
          <w:i/>
          <w:iCs/>
          <w:color w:val="767171" w:themeColor="background2" w:themeShade="80"/>
          <w:sz w:val="26"/>
          <w:szCs w:val="26"/>
        </w:rPr>
        <w:t xml:space="preserve">QUINTO.- </w:t>
      </w:r>
      <w:r w:rsidRPr="00EF51C9">
        <w:rPr>
          <w:rFonts w:asciiTheme="minorHAnsi" w:eastAsia="Times New Roman" w:hAnsiTheme="minorHAnsi" w:cstheme="minorHAnsi"/>
          <w:color w:val="767171" w:themeColor="background2" w:themeShade="80"/>
          <w:sz w:val="26"/>
          <w:szCs w:val="26"/>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así como tampoco se valorarán otras pruebas distintas a la Escritura Pública, que se describe en el considerando anterior, pues el sobreseimiento del proceso impide entrar al estudio del fondo del asunto. . . . .  </w:t>
      </w:r>
    </w:p>
    <w:p w:rsidR="00D449BC" w:rsidRPr="00EF51C9" w:rsidRDefault="00D449BC" w:rsidP="00D449BC">
      <w:pPr>
        <w:rPr>
          <w:color w:val="767171" w:themeColor="background2" w:themeShade="80"/>
          <w:sz w:val="20"/>
          <w:szCs w:val="20"/>
        </w:rPr>
      </w:pPr>
    </w:p>
    <w:p w:rsidR="00D449BC" w:rsidRDefault="00D449BC" w:rsidP="00D449BC">
      <w:pPr>
        <w:ind w:firstLine="708"/>
        <w:jc w:val="both"/>
        <w:rPr>
          <w:rFonts w:ascii="Calibri" w:hAnsi="Calibri"/>
          <w:color w:val="767171" w:themeColor="background2" w:themeShade="80"/>
          <w:sz w:val="26"/>
          <w:szCs w:val="26"/>
        </w:rPr>
      </w:pPr>
      <w:r w:rsidRPr="00EF51C9">
        <w:rPr>
          <w:rFonts w:ascii="Calibri" w:hAnsi="Calibri" w:cs="Arial"/>
          <w:color w:val="767171" w:themeColor="background2" w:themeShade="80"/>
          <w:sz w:val="26"/>
          <w:szCs w:val="26"/>
        </w:rPr>
        <w:t xml:space="preserve">Por lo anteriormente expuesto, con fundamento en lo establecido en los artículos 249, 261, fracción VII, 262, fracción II, 287, 298 y 299 del </w:t>
      </w:r>
      <w:r w:rsidRPr="00EF51C9">
        <w:rPr>
          <w:rFonts w:ascii="Calibri" w:hAnsi="Calibri"/>
          <w:color w:val="767171" w:themeColor="background2" w:themeShade="80"/>
          <w:sz w:val="26"/>
          <w:szCs w:val="26"/>
        </w:rPr>
        <w:t>Código de</w:t>
      </w:r>
      <w:r>
        <w:rPr>
          <w:rFonts w:ascii="Calibri" w:hAnsi="Calibri"/>
          <w:color w:val="767171" w:themeColor="background2" w:themeShade="80"/>
          <w:sz w:val="26"/>
          <w:szCs w:val="26"/>
        </w:rPr>
        <w:t xml:space="preserve"> </w:t>
      </w:r>
    </w:p>
    <w:p w:rsidR="00D449BC" w:rsidRDefault="00D449BC" w:rsidP="00D449BC">
      <w:pPr>
        <w:ind w:firstLine="708"/>
        <w:jc w:val="both"/>
        <w:rPr>
          <w:rFonts w:ascii="Calibri" w:hAnsi="Calibri"/>
          <w:color w:val="767171" w:themeColor="background2" w:themeShade="80"/>
          <w:sz w:val="26"/>
          <w:szCs w:val="26"/>
        </w:rPr>
      </w:pPr>
    </w:p>
    <w:p w:rsidR="00D449BC" w:rsidRPr="00EF51C9" w:rsidRDefault="00D449BC" w:rsidP="00D449BC">
      <w:pPr>
        <w:ind w:firstLine="708"/>
        <w:jc w:val="right"/>
        <w:rPr>
          <w:rFonts w:asciiTheme="minorHAnsi" w:hAnsiTheme="minorHAnsi" w:cstheme="minorHAnsi"/>
          <w:b/>
          <w:color w:val="767171" w:themeColor="background2" w:themeShade="80"/>
          <w:sz w:val="26"/>
          <w:szCs w:val="26"/>
        </w:rPr>
      </w:pPr>
      <w:r w:rsidRPr="00EF51C9">
        <w:rPr>
          <w:rFonts w:asciiTheme="minorHAnsi" w:hAnsiTheme="minorHAnsi" w:cstheme="minorHAnsi"/>
          <w:b/>
          <w:color w:val="767171" w:themeColor="background2" w:themeShade="80"/>
          <w:sz w:val="26"/>
          <w:szCs w:val="26"/>
        </w:rPr>
        <w:t>Expediente número 0</w:t>
      </w:r>
      <w:r>
        <w:rPr>
          <w:rFonts w:asciiTheme="minorHAnsi" w:hAnsiTheme="minorHAnsi" w:cstheme="minorHAnsi"/>
          <w:b/>
          <w:color w:val="767171" w:themeColor="background2" w:themeShade="80"/>
          <w:sz w:val="26"/>
          <w:szCs w:val="26"/>
        </w:rPr>
        <w:t>983</w:t>
      </w:r>
      <w:r w:rsidRPr="00EF51C9">
        <w:rPr>
          <w:rFonts w:asciiTheme="minorHAnsi" w:hAnsiTheme="minorHAnsi" w:cstheme="minorHAnsi"/>
          <w:b/>
          <w:color w:val="767171" w:themeColor="background2" w:themeShade="80"/>
          <w:sz w:val="26"/>
          <w:szCs w:val="26"/>
        </w:rPr>
        <w:t>/2doJAM/2018-JN</w:t>
      </w:r>
    </w:p>
    <w:p w:rsidR="00D449BC" w:rsidRDefault="00D449BC" w:rsidP="00D449BC">
      <w:pPr>
        <w:ind w:firstLine="708"/>
        <w:jc w:val="both"/>
        <w:rPr>
          <w:rFonts w:ascii="Calibri" w:hAnsi="Calibri"/>
          <w:color w:val="767171" w:themeColor="background2" w:themeShade="80"/>
          <w:sz w:val="26"/>
          <w:szCs w:val="26"/>
        </w:rPr>
      </w:pPr>
    </w:p>
    <w:p w:rsidR="00D449BC" w:rsidRPr="00DE451F" w:rsidRDefault="00D449BC" w:rsidP="00D449BC">
      <w:pPr>
        <w:jc w:val="both"/>
        <w:rPr>
          <w:rFonts w:ascii="Calibri" w:hAnsi="Calibri"/>
          <w:color w:val="767171" w:themeColor="background2" w:themeShade="80"/>
          <w:sz w:val="26"/>
          <w:szCs w:val="26"/>
        </w:rPr>
      </w:pPr>
      <w:r w:rsidRPr="00EF51C9">
        <w:rPr>
          <w:rFonts w:ascii="Calibri" w:hAnsi="Calibri"/>
          <w:color w:val="767171" w:themeColor="background2" w:themeShade="80"/>
          <w:sz w:val="26"/>
          <w:szCs w:val="26"/>
        </w:rPr>
        <w:t>Procedimiento y Justicia Administrativa para el Estado y los Municipios de Guanajuato, es de resolverse y se</w:t>
      </w:r>
      <w:r w:rsidRPr="00EF51C9">
        <w:rPr>
          <w:rFonts w:ascii="Calibri" w:hAnsi="Calibri" w:cs="Arial"/>
          <w:color w:val="767171" w:themeColor="background2" w:themeShade="80"/>
          <w:sz w:val="26"/>
          <w:szCs w:val="26"/>
        </w:rPr>
        <w:t xml:space="preserve">: . . . . . . . . . . . . . . . . . . . . . . . . . . . . . . . . . . . . . . . </w:t>
      </w:r>
    </w:p>
    <w:p w:rsidR="00D449BC" w:rsidRPr="00EF51C9" w:rsidRDefault="00D449BC" w:rsidP="00D449BC">
      <w:pPr>
        <w:ind w:firstLine="708"/>
        <w:jc w:val="both"/>
        <w:rPr>
          <w:rFonts w:ascii="Calibri" w:hAnsi="Calibri" w:cs="Arial"/>
          <w:color w:val="767171" w:themeColor="background2" w:themeShade="80"/>
          <w:sz w:val="20"/>
          <w:szCs w:val="20"/>
        </w:rPr>
      </w:pPr>
    </w:p>
    <w:p w:rsidR="00D449BC" w:rsidRPr="00EF51C9" w:rsidRDefault="00D449BC" w:rsidP="00D449BC">
      <w:pPr>
        <w:jc w:val="center"/>
        <w:rPr>
          <w:rFonts w:ascii="Calibri" w:hAnsi="Calibri" w:cs="Arial"/>
          <w:i/>
          <w:iCs/>
          <w:color w:val="767171" w:themeColor="background2" w:themeShade="80"/>
          <w:sz w:val="26"/>
          <w:szCs w:val="26"/>
        </w:rPr>
      </w:pPr>
      <w:r w:rsidRPr="00EF51C9">
        <w:rPr>
          <w:rFonts w:ascii="Calibri" w:hAnsi="Calibri" w:cs="Arial"/>
          <w:b/>
          <w:i/>
          <w:iCs/>
          <w:color w:val="767171" w:themeColor="background2" w:themeShade="80"/>
          <w:sz w:val="26"/>
          <w:szCs w:val="26"/>
        </w:rPr>
        <w:t xml:space="preserve">R E S U E L V </w:t>
      </w:r>
      <w:proofErr w:type="gramStart"/>
      <w:r w:rsidRPr="00EF51C9">
        <w:rPr>
          <w:rFonts w:ascii="Calibri" w:hAnsi="Calibri" w:cs="Arial"/>
          <w:b/>
          <w:i/>
          <w:iCs/>
          <w:color w:val="767171" w:themeColor="background2" w:themeShade="80"/>
          <w:sz w:val="26"/>
          <w:szCs w:val="26"/>
        </w:rPr>
        <w:t>E :</w:t>
      </w:r>
      <w:proofErr w:type="gramEnd"/>
    </w:p>
    <w:p w:rsidR="00D449BC" w:rsidRPr="00EF51C9" w:rsidRDefault="00D449BC" w:rsidP="00D449BC">
      <w:pPr>
        <w:jc w:val="both"/>
        <w:rPr>
          <w:rFonts w:ascii="Calibri" w:hAnsi="Calibri" w:cs="Arial"/>
          <w:color w:val="767171" w:themeColor="background2" w:themeShade="80"/>
          <w:sz w:val="20"/>
          <w:szCs w:val="20"/>
        </w:rPr>
      </w:pPr>
    </w:p>
    <w:p w:rsidR="00D449BC" w:rsidRPr="00EF51C9" w:rsidRDefault="00D449BC" w:rsidP="00D449BC">
      <w:pPr>
        <w:ind w:firstLine="708"/>
        <w:jc w:val="both"/>
        <w:rPr>
          <w:rFonts w:ascii="Calibri" w:hAnsi="Calibri" w:cs="Arial"/>
          <w:color w:val="767171" w:themeColor="background2" w:themeShade="80"/>
          <w:sz w:val="26"/>
          <w:szCs w:val="26"/>
        </w:rPr>
      </w:pPr>
      <w:proofErr w:type="gramStart"/>
      <w:r w:rsidRPr="00EF51C9">
        <w:rPr>
          <w:rFonts w:ascii="Calibri" w:hAnsi="Calibri" w:cs="Arial"/>
          <w:b/>
          <w:bCs/>
          <w:i/>
          <w:iCs/>
          <w:color w:val="767171" w:themeColor="background2" w:themeShade="80"/>
          <w:sz w:val="26"/>
          <w:szCs w:val="26"/>
        </w:rPr>
        <w:t>PRIMERO.-</w:t>
      </w:r>
      <w:proofErr w:type="gramEnd"/>
      <w:r w:rsidRPr="00EF51C9">
        <w:rPr>
          <w:rFonts w:ascii="Calibri" w:hAnsi="Calibri" w:cs="Arial"/>
          <w:color w:val="767171" w:themeColor="background2" w:themeShade="80"/>
          <w:sz w:val="26"/>
          <w:szCs w:val="26"/>
        </w:rPr>
        <w:t xml:space="preserve"> Este Juzgado Segundo Administrativo Municipal resulto ser competente para conocer y resolver el presente proceso administrativo. . . . . . . .  </w:t>
      </w:r>
    </w:p>
    <w:p w:rsidR="00D449BC" w:rsidRPr="00EF51C9" w:rsidRDefault="00D449BC" w:rsidP="00D449BC">
      <w:pPr>
        <w:ind w:firstLine="708"/>
        <w:jc w:val="both"/>
        <w:rPr>
          <w:rFonts w:ascii="Calibri" w:hAnsi="Calibri" w:cs="Arial"/>
          <w:color w:val="767171" w:themeColor="background2" w:themeShade="80"/>
          <w:sz w:val="20"/>
          <w:szCs w:val="20"/>
        </w:rPr>
      </w:pPr>
    </w:p>
    <w:p w:rsidR="00D449BC" w:rsidRPr="00EF51C9" w:rsidRDefault="00D449BC" w:rsidP="00D449BC">
      <w:pPr>
        <w:ind w:firstLine="708"/>
        <w:jc w:val="both"/>
        <w:rPr>
          <w:rFonts w:ascii="Calibri" w:hAnsi="Calibri" w:cs="Arial"/>
          <w:color w:val="767171" w:themeColor="background2" w:themeShade="80"/>
          <w:sz w:val="26"/>
          <w:szCs w:val="26"/>
        </w:rPr>
      </w:pPr>
      <w:proofErr w:type="gramStart"/>
      <w:r w:rsidRPr="00EF51C9">
        <w:rPr>
          <w:rFonts w:ascii="Calibri" w:hAnsi="Calibri" w:cs="Arial"/>
          <w:b/>
          <w:bCs/>
          <w:i/>
          <w:iCs/>
          <w:color w:val="767171" w:themeColor="background2" w:themeShade="80"/>
          <w:sz w:val="26"/>
          <w:szCs w:val="26"/>
        </w:rPr>
        <w:t>SEGUNDO.-</w:t>
      </w:r>
      <w:proofErr w:type="gramEnd"/>
      <w:r w:rsidRPr="00EF51C9">
        <w:rPr>
          <w:rFonts w:ascii="Calibri" w:hAnsi="Calibri" w:cs="Arial"/>
          <w:b/>
          <w:bCs/>
          <w:i/>
          <w:iCs/>
          <w:color w:val="767171" w:themeColor="background2" w:themeShade="80"/>
          <w:sz w:val="26"/>
          <w:szCs w:val="26"/>
        </w:rPr>
        <w:t xml:space="preserve"> </w:t>
      </w:r>
      <w:r w:rsidRPr="00EF51C9">
        <w:rPr>
          <w:rFonts w:ascii="Calibri" w:hAnsi="Calibri" w:cs="Arial"/>
          <w:color w:val="767171" w:themeColor="background2" w:themeShade="80"/>
          <w:sz w:val="26"/>
          <w:szCs w:val="26"/>
        </w:rPr>
        <w:t>Se</w:t>
      </w:r>
      <w:r w:rsidRPr="00EF51C9">
        <w:rPr>
          <w:rFonts w:ascii="Calibri" w:hAnsi="Calibri" w:cs="Arial"/>
          <w:b/>
          <w:color w:val="767171" w:themeColor="background2" w:themeShade="80"/>
          <w:sz w:val="26"/>
          <w:szCs w:val="26"/>
        </w:rPr>
        <w:t xml:space="preserve"> </w:t>
      </w:r>
      <w:r w:rsidRPr="00EF51C9">
        <w:rPr>
          <w:rFonts w:ascii="Calibri" w:hAnsi="Calibri" w:cs="Arial"/>
          <w:b/>
          <w:bCs/>
          <w:iCs/>
          <w:color w:val="767171" w:themeColor="background2" w:themeShade="80"/>
          <w:sz w:val="26"/>
          <w:szCs w:val="26"/>
        </w:rPr>
        <w:t xml:space="preserve">SOBRESEE </w:t>
      </w:r>
      <w:r w:rsidRPr="00EF51C9">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Sentencia. . . . . . . . . . . . . . . . . . . . . . . . . . . . . . . . . . . . . . . . . . . . . . . . . . . . </w:t>
      </w:r>
    </w:p>
    <w:p w:rsidR="00D449BC" w:rsidRPr="00EF51C9" w:rsidRDefault="00D449BC" w:rsidP="00D449BC">
      <w:pPr>
        <w:jc w:val="both"/>
        <w:rPr>
          <w:rFonts w:ascii="Calibri" w:hAnsi="Calibri"/>
          <w:color w:val="767171" w:themeColor="background2" w:themeShade="80"/>
          <w:sz w:val="20"/>
          <w:szCs w:val="20"/>
        </w:rPr>
      </w:pPr>
    </w:p>
    <w:p w:rsidR="00D449BC" w:rsidRPr="00EF51C9" w:rsidRDefault="00D449BC" w:rsidP="00D449BC">
      <w:pPr>
        <w:ind w:firstLine="708"/>
        <w:jc w:val="both"/>
        <w:rPr>
          <w:rFonts w:ascii="Calibri" w:hAnsi="Calibri" w:cs="Arial"/>
          <w:color w:val="767171" w:themeColor="background2" w:themeShade="80"/>
          <w:sz w:val="26"/>
          <w:szCs w:val="26"/>
          <w:lang w:val="es-MX"/>
        </w:rPr>
      </w:pPr>
      <w:r w:rsidRPr="00EF51C9">
        <w:rPr>
          <w:rFonts w:ascii="Calibri" w:hAnsi="Calibri" w:cs="Arial"/>
          <w:color w:val="767171" w:themeColor="background2" w:themeShade="80"/>
          <w:sz w:val="26"/>
          <w:szCs w:val="26"/>
          <w:lang w:val="es-MX"/>
        </w:rPr>
        <w:t xml:space="preserve">Notifíquese a la autoridad demandada por oficio y a la parte actora personalmente. . . . . . . . . . . . . . . . . . . . . . . . . . . . . . . . . . . . . . . . . . . . . . . . . . . </w:t>
      </w:r>
      <w:proofErr w:type="gramStart"/>
      <w:r w:rsidRPr="00EF51C9">
        <w:rPr>
          <w:rFonts w:ascii="Calibri" w:hAnsi="Calibri" w:cs="Arial"/>
          <w:color w:val="767171" w:themeColor="background2" w:themeShade="80"/>
          <w:sz w:val="26"/>
          <w:szCs w:val="26"/>
          <w:lang w:val="es-MX"/>
        </w:rPr>
        <w:t>. . . .</w:t>
      </w:r>
      <w:proofErr w:type="gramEnd"/>
      <w:r w:rsidRPr="00EF51C9">
        <w:rPr>
          <w:rFonts w:ascii="Calibri" w:hAnsi="Calibri" w:cs="Arial"/>
          <w:color w:val="767171" w:themeColor="background2" w:themeShade="80"/>
          <w:sz w:val="26"/>
          <w:szCs w:val="26"/>
          <w:lang w:val="es-MX"/>
        </w:rPr>
        <w:t xml:space="preserve"> .</w:t>
      </w:r>
    </w:p>
    <w:p w:rsidR="00D449BC" w:rsidRPr="00EF51C9" w:rsidRDefault="00D449BC" w:rsidP="00D449BC">
      <w:pPr>
        <w:ind w:firstLine="708"/>
        <w:jc w:val="both"/>
        <w:rPr>
          <w:rFonts w:ascii="Calibri" w:hAnsi="Calibri" w:cs="Arial"/>
          <w:color w:val="767171" w:themeColor="background2" w:themeShade="80"/>
          <w:sz w:val="26"/>
          <w:szCs w:val="26"/>
          <w:lang w:val="es-MX"/>
        </w:rPr>
      </w:pPr>
    </w:p>
    <w:p w:rsidR="00D449BC" w:rsidRPr="00EF51C9" w:rsidRDefault="00D449BC" w:rsidP="00D449BC">
      <w:pPr>
        <w:ind w:firstLine="708"/>
        <w:jc w:val="both"/>
        <w:rPr>
          <w:rFonts w:ascii="Calibri" w:hAnsi="Calibri" w:cs="Arial"/>
          <w:color w:val="767171" w:themeColor="background2" w:themeShade="80"/>
          <w:sz w:val="26"/>
          <w:szCs w:val="26"/>
          <w:lang w:val="es-MX"/>
        </w:rPr>
      </w:pPr>
      <w:r w:rsidRPr="00EF51C9">
        <w:rPr>
          <w:rFonts w:ascii="Calibri" w:hAnsi="Calibri" w:cs="Arial"/>
          <w:color w:val="767171" w:themeColor="background2" w:themeShade="80"/>
          <w:sz w:val="26"/>
          <w:szCs w:val="26"/>
          <w:lang w:val="es-MX"/>
        </w:rPr>
        <w:t>En su oportunidad, archívese este expediente, como asunto totalmente concluido y dese de baja en el Libro de Registros que se lleva para tal efecto</w:t>
      </w:r>
      <w:proofErr w:type="gramStart"/>
      <w:r w:rsidRPr="00EF51C9">
        <w:rPr>
          <w:rFonts w:ascii="Calibri" w:hAnsi="Calibri" w:cs="Arial"/>
          <w:color w:val="767171" w:themeColor="background2" w:themeShade="80"/>
          <w:sz w:val="26"/>
          <w:szCs w:val="26"/>
          <w:lang w:val="es-MX"/>
        </w:rPr>
        <w:t>. . . .</w:t>
      </w:r>
      <w:proofErr w:type="gramEnd"/>
      <w:r w:rsidRPr="00EF51C9">
        <w:rPr>
          <w:rFonts w:ascii="Calibri" w:hAnsi="Calibri" w:cs="Arial"/>
          <w:color w:val="767171" w:themeColor="background2" w:themeShade="80"/>
          <w:sz w:val="26"/>
          <w:szCs w:val="26"/>
          <w:lang w:val="es-MX"/>
        </w:rPr>
        <w:t xml:space="preserve"> </w:t>
      </w:r>
    </w:p>
    <w:p w:rsidR="00D449BC" w:rsidRPr="00EF51C9" w:rsidRDefault="00D449BC" w:rsidP="00D449BC">
      <w:pPr>
        <w:ind w:firstLine="708"/>
        <w:jc w:val="both"/>
        <w:rPr>
          <w:rFonts w:ascii="Calibri" w:hAnsi="Calibri" w:cs="Arial"/>
          <w:color w:val="767171" w:themeColor="background2" w:themeShade="80"/>
          <w:sz w:val="18"/>
          <w:szCs w:val="18"/>
          <w:lang w:val="es-MX"/>
        </w:rPr>
      </w:pPr>
    </w:p>
    <w:p w:rsidR="00D449BC" w:rsidRPr="00EF51C9" w:rsidRDefault="00D449BC" w:rsidP="00D449BC">
      <w:pPr>
        <w:ind w:firstLine="708"/>
        <w:jc w:val="both"/>
        <w:rPr>
          <w:rFonts w:ascii="Calibri" w:hAnsi="Calibri"/>
          <w:color w:val="767171" w:themeColor="background2" w:themeShade="80"/>
          <w:sz w:val="26"/>
          <w:szCs w:val="26"/>
          <w:lang w:val="es-MX"/>
        </w:rPr>
      </w:pPr>
      <w:r w:rsidRPr="00EF51C9">
        <w:rPr>
          <w:rFonts w:ascii="Calibri" w:hAnsi="Calibri"/>
          <w:color w:val="767171" w:themeColor="background2" w:themeShade="80"/>
          <w:sz w:val="26"/>
          <w:szCs w:val="26"/>
          <w:lang w:val="es-MX"/>
        </w:rPr>
        <w:t xml:space="preserve">Así lo resolvió y firma el Licenciado </w:t>
      </w:r>
      <w:r w:rsidRPr="00EF51C9">
        <w:rPr>
          <w:rFonts w:ascii="Calibri" w:hAnsi="Calibri"/>
          <w:b/>
          <w:bCs/>
          <w:color w:val="767171" w:themeColor="background2" w:themeShade="80"/>
          <w:sz w:val="26"/>
          <w:szCs w:val="26"/>
          <w:lang w:val="es-MX"/>
        </w:rPr>
        <w:t>Ernesto Alejandro Mora Álvarez</w:t>
      </w:r>
      <w:r w:rsidRPr="00EF51C9">
        <w:rPr>
          <w:rFonts w:ascii="Calibri" w:hAnsi="Calibri"/>
          <w:color w:val="767171" w:themeColor="background2" w:themeShade="80"/>
          <w:sz w:val="26"/>
          <w:szCs w:val="26"/>
          <w:lang w:val="es-MX"/>
        </w:rPr>
        <w:t xml:space="preserve">, Juez Segundo Administrativo Municipal de León, Guanajuato, quien actúa asistido en forma legal con Secretaria de Estudio y Cuenta, Licenciada </w:t>
      </w:r>
      <w:r w:rsidRPr="00EF51C9">
        <w:rPr>
          <w:rFonts w:ascii="Calibri" w:hAnsi="Calibri"/>
          <w:b/>
          <w:bCs/>
          <w:color w:val="767171" w:themeColor="background2" w:themeShade="80"/>
          <w:sz w:val="26"/>
          <w:szCs w:val="26"/>
          <w:lang w:val="es-MX"/>
        </w:rPr>
        <w:t>María del Rocío Villanueva Sánchez</w:t>
      </w:r>
      <w:r w:rsidRPr="00EF51C9">
        <w:rPr>
          <w:rFonts w:ascii="Calibri" w:hAnsi="Calibri"/>
          <w:color w:val="767171" w:themeColor="background2" w:themeShade="80"/>
          <w:sz w:val="26"/>
          <w:szCs w:val="26"/>
          <w:lang w:val="es-MX"/>
        </w:rPr>
        <w:t>, quien da fe. . . . . . . . . . . . . . . . . . . . . . . . . . . . . . . . . . . . . . . . . .</w:t>
      </w:r>
      <w:r>
        <w:rPr>
          <w:rFonts w:ascii="Calibri" w:hAnsi="Calibri"/>
          <w:color w:val="767171" w:themeColor="background2" w:themeShade="80"/>
          <w:sz w:val="26"/>
          <w:szCs w:val="26"/>
          <w:lang w:val="es-MX"/>
        </w:rPr>
        <w:t xml:space="preserve"> </w:t>
      </w:r>
    </w:p>
    <w:p w:rsidR="00E033C3" w:rsidRDefault="00DA19EB"/>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BC"/>
    <w:rsid w:val="001B369F"/>
    <w:rsid w:val="00D449BC"/>
    <w:rsid w:val="00DA19EB"/>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1F5FD-BDEC-4BB7-A2B4-8B1A46CB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B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49BC"/>
    <w:pPr>
      <w:jc w:val="both"/>
    </w:pPr>
    <w:rPr>
      <w:lang w:val="es-MX"/>
    </w:rPr>
  </w:style>
  <w:style w:type="character" w:customStyle="1" w:styleId="TextoindependienteCar">
    <w:name w:val="Texto independiente Car"/>
    <w:basedOn w:val="Fuentedeprrafopredeter"/>
    <w:link w:val="Textoindependiente"/>
    <w:rsid w:val="00D449BC"/>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11710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2018-11-28T17:30:00Z</dcterms:created>
  <dcterms:modified xsi:type="dcterms:W3CDTF">2018-11-28T18:34:00Z</dcterms:modified>
</cp:coreProperties>
</file>